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87"/>
        <w:rPr>
          <w:sz w:val="20"/>
        </w:rPr>
      </w:pPr>
    </w:p>
    <w:p>
      <w:pPr>
        <w:pStyle w:val="2"/>
        <w:spacing w:before="43"/>
        <w:ind w:left="106"/>
      </w:pPr>
      <w:r>
        <w:rPr>
          <w:rFonts w:hint="eastAsia"/>
          <w:spacing w:val="-2"/>
          <w:w w:val="100"/>
          <w:lang w:val="en-US" w:eastAsia="zh-CN"/>
        </w:rPr>
        <w:t>一</w:t>
      </w:r>
      <w:r>
        <w:rPr>
          <w:spacing w:val="-2"/>
          <w:w w:val="100"/>
        </w:rPr>
        <w:t>、转换工具操作步骤</w:t>
      </w:r>
      <w:r>
        <w:rPr>
          <w:color w:val="FF0000"/>
          <w:w w:val="100"/>
        </w:rPr>
        <w:t>（</w:t>
      </w:r>
      <w:r>
        <w:rPr>
          <w:color w:val="FF0000"/>
          <w:spacing w:val="-10"/>
          <w:w w:val="100"/>
        </w:rPr>
        <w:t>前提：转换工具打开请右击“以管理员身份运行”</w:t>
      </w:r>
      <w:r>
        <w:rPr>
          <w:color w:val="FF0000"/>
          <w:w w:val="100"/>
        </w:rPr>
        <w:t>）</w:t>
      </w:r>
    </w:p>
    <w:p>
      <w:pPr>
        <w:pStyle w:val="2"/>
        <w:spacing w:before="42"/>
        <w:ind w:left="529"/>
      </w:pPr>
      <w:r>
        <w:t>（一</w:t>
      </w:r>
      <w:r>
        <w:rPr>
          <w:spacing w:val="-106"/>
        </w:rPr>
        <w:t>）</w:t>
      </w:r>
      <w:r>
        <w:rPr>
          <w:spacing w:val="-2"/>
        </w:rPr>
        <w:t>、招标文件</w:t>
      </w:r>
    </w:p>
    <w:p>
      <w:pPr>
        <w:pStyle w:val="2"/>
        <w:spacing w:before="43"/>
        <w:ind w:left="529"/>
        <w:rPr>
          <w:rFonts w:ascii="Calibri" w:eastAsia="Calibri"/>
        </w:rPr>
      </w:pPr>
      <w:r>
        <w:rPr>
          <w:rFonts w:ascii="Calibri" w:eastAsia="Calibri"/>
        </w:rPr>
        <w:t>1</w:t>
      </w:r>
      <w:r>
        <w:t>、 新建项目框架</w:t>
      </w:r>
      <w:r>
        <w:rPr>
          <w:rFonts w:ascii="Calibri" w:eastAsia="Calibri"/>
        </w:rPr>
        <w:t>:</w:t>
      </w:r>
    </w:p>
    <w:p>
      <w:pPr>
        <w:pStyle w:val="2"/>
        <w:spacing w:before="5"/>
        <w:rPr>
          <w:rFonts w:ascii="Calibri"/>
          <w:sz w:val="8"/>
        </w:rPr>
      </w:pPr>
    </w:p>
    <w:p>
      <w:pPr>
        <w:pStyle w:val="2"/>
        <w:spacing w:before="128"/>
        <w:ind w:left="974"/>
        <w:rPr>
          <w:rFonts w:ascii="Calibri" w:eastAsia="Calibri"/>
        </w:rPr>
      </w:pPr>
      <w:r>
        <w:drawing>
          <wp:inline distT="0" distB="0" distL="114300" distR="114300">
            <wp:extent cx="4030980" cy="2316480"/>
            <wp:effectExtent l="0" t="0" r="762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0980" cy="231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128"/>
        <w:ind w:left="974"/>
        <w:rPr>
          <w:rFonts w:ascii="Calibri" w:eastAsia="Calibri"/>
        </w:rPr>
      </w:pPr>
    </w:p>
    <w:p>
      <w:pPr>
        <w:pStyle w:val="2"/>
        <w:spacing w:before="128"/>
        <w:ind w:left="974"/>
        <w:rPr>
          <w:rFonts w:ascii="Calibri" w:eastAsia="Calibri"/>
        </w:rPr>
      </w:pPr>
    </w:p>
    <w:p>
      <w:pPr>
        <w:pStyle w:val="2"/>
        <w:spacing w:before="128"/>
        <w:ind w:left="974"/>
        <w:rPr>
          <w:rFonts w:ascii="Calibri" w:eastAsia="Calibri"/>
        </w:rPr>
      </w:pPr>
      <w:r>
        <w:rPr>
          <w:rFonts w:ascii="Calibri" w:eastAsia="Calibri"/>
        </w:rPr>
        <w:t>(</w:t>
      </w:r>
      <w:r>
        <w:rPr>
          <w:spacing w:val="-5"/>
        </w:rPr>
        <w:t>此处，也可通过打开项目的方式对未完成工程进行继续操作</w:t>
      </w:r>
      <w:r>
        <w:rPr>
          <w:rFonts w:ascii="Calibri" w:eastAsia="Calibri"/>
        </w:rPr>
        <w:t>)</w:t>
      </w:r>
    </w:p>
    <w:p>
      <w:pPr>
        <w:spacing w:after="0"/>
        <w:rPr>
          <w:rFonts w:ascii="Calibri" w:eastAsia="Calibri"/>
        </w:rPr>
        <w:sectPr>
          <w:pgSz w:w="11910" w:h="16840"/>
          <w:pgMar w:top="80" w:right="440" w:bottom="0" w:left="460" w:header="720" w:footer="720" w:gutter="0"/>
          <w:cols w:space="720" w:num="1"/>
        </w:sectPr>
      </w:pPr>
    </w:p>
    <w:p>
      <w:pPr>
        <w:pStyle w:val="2"/>
        <w:ind w:left="887"/>
      </w:pPr>
      <w:r>
        <w:drawing>
          <wp:inline distT="0" distB="0" distL="114300" distR="114300">
            <wp:extent cx="3672840" cy="371856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371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0" w:line="221" w:lineRule="exact"/>
        <w:ind w:left="0" w:right="0" w:firstLine="0"/>
        <w:jc w:val="left"/>
        <w:rPr>
          <w:sz w:val="22"/>
        </w:rPr>
      </w:pPr>
      <w:r>
        <w:rPr>
          <w:color w:val="FF0000"/>
          <w:sz w:val="22"/>
        </w:rPr>
        <w:t>项目信息根据情况据实填写</w:t>
      </w:r>
    </w:p>
    <w:p>
      <w:pPr>
        <w:spacing w:before="0" w:line="241" w:lineRule="exact"/>
        <w:ind w:left="0" w:right="0" w:firstLine="0"/>
        <w:jc w:val="left"/>
        <w:rPr>
          <w:sz w:val="21"/>
        </w:rPr>
      </w:pPr>
    </w:p>
    <w:p>
      <w:pPr>
        <w:spacing w:before="0" w:line="241" w:lineRule="exact"/>
        <w:ind w:left="0" w:right="0" w:firstLine="0"/>
        <w:jc w:val="left"/>
        <w:rPr>
          <w:sz w:val="21"/>
        </w:rPr>
      </w:pPr>
      <w:r>
        <w:rPr>
          <w:sz w:val="21"/>
        </w:rPr>
        <w:t>点击“新增单项工程”，补充完整单项编码、名称信息；</w:t>
      </w:r>
    </w:p>
    <w:p>
      <w:pPr>
        <w:spacing w:before="43" w:line="278" w:lineRule="auto"/>
        <w:ind w:left="0" w:right="18" w:firstLine="0"/>
        <w:jc w:val="left"/>
        <w:rPr>
          <w:sz w:val="21"/>
        </w:rPr>
      </w:pPr>
      <w:r>
        <w:rPr>
          <w:spacing w:val="-16"/>
          <w:sz w:val="21"/>
        </w:rPr>
        <w:t>单项工程下点击“新增单位工程”，完善信息，其中专业列可下拉选择。</w:t>
      </w:r>
      <w:r>
        <w:rPr>
          <w:color w:val="FF0000"/>
          <w:spacing w:val="-18"/>
          <w:sz w:val="21"/>
        </w:rPr>
        <w:t>注：项目、单项、单位工程编码、名称均不可重复！！！</w:t>
      </w:r>
    </w:p>
    <w:p>
      <w:pPr>
        <w:spacing w:before="0" w:line="235" w:lineRule="exact"/>
        <w:ind w:left="0" w:right="0" w:firstLine="0"/>
        <w:jc w:val="left"/>
        <w:rPr>
          <w:sz w:val="21"/>
        </w:rPr>
      </w:pPr>
      <w:r>
        <w:rPr>
          <w:sz w:val="21"/>
        </w:rPr>
        <w:t>根据项目情况建立框架后，点击“确定”按钮即可</w:t>
      </w:r>
    </w:p>
    <w:p>
      <w:pPr>
        <w:pStyle w:val="2"/>
        <w:ind w:left="887"/>
        <w:rPr>
          <w:rFonts w:ascii="Calibri"/>
          <w:sz w:val="20"/>
        </w:rPr>
      </w:pPr>
    </w:p>
    <w:p>
      <w:pPr>
        <w:pStyle w:val="2"/>
        <w:spacing w:before="11"/>
        <w:rPr>
          <w:rFonts w:ascii="Calibri"/>
          <w:sz w:val="15"/>
        </w:rPr>
      </w:pPr>
    </w:p>
    <w:p>
      <w:pPr>
        <w:spacing w:after="0"/>
        <w:rPr>
          <w:rFonts w:ascii="Calibri"/>
          <w:sz w:val="15"/>
        </w:rPr>
      </w:pPr>
    </w:p>
    <w:p>
      <w:pPr>
        <w:spacing w:after="0"/>
      </w:pPr>
      <w:r>
        <w:drawing>
          <wp:inline distT="0" distB="0" distL="114300" distR="114300">
            <wp:extent cx="6986270" cy="4366260"/>
            <wp:effectExtent l="0" t="0" r="8890" b="762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6270" cy="436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0" w:line="241" w:lineRule="exact"/>
        <w:ind w:left="0" w:right="0" w:firstLine="0"/>
        <w:jc w:val="left"/>
        <w:rPr>
          <w:sz w:val="21"/>
        </w:rPr>
      </w:pPr>
      <w:r>
        <w:rPr>
          <w:color w:val="FF0000"/>
          <w:sz w:val="21"/>
        </w:rPr>
        <w:t>选择工程文件存放位置，该工程文件可通过</w:t>
      </w:r>
    </w:p>
    <w:p>
      <w:pPr>
        <w:spacing w:before="38" w:line="240" w:lineRule="exact"/>
        <w:ind w:left="0" w:right="0" w:firstLine="0"/>
        <w:jc w:val="left"/>
        <w:rPr>
          <w:sz w:val="21"/>
        </w:rPr>
      </w:pPr>
      <w:r>
        <w:rPr>
          <w:color w:val="FF0000"/>
          <w:sz w:val="21"/>
        </w:rPr>
        <w:t>打开工程的方式继续进行操作</w:t>
      </w:r>
    </w:p>
    <w:p>
      <w:pPr>
        <w:spacing w:after="0"/>
        <w:sectPr>
          <w:pgSz w:w="11910" w:h="16840"/>
          <w:pgMar w:top="440" w:right="440" w:bottom="280" w:left="460" w:header="720" w:footer="720" w:gutter="0"/>
          <w:cols w:space="720" w:num="1"/>
        </w:sectPr>
      </w:pPr>
    </w:p>
    <w:p>
      <w:pPr>
        <w:pStyle w:val="2"/>
        <w:ind w:left="527"/>
        <w:rPr>
          <w:rFonts w:ascii="Calibri"/>
          <w:sz w:val="20"/>
        </w:rPr>
      </w:pPr>
    </w:p>
    <w:p>
      <w:pPr>
        <w:pStyle w:val="2"/>
        <w:spacing w:before="11"/>
        <w:rPr>
          <w:rFonts w:ascii="Calibri"/>
          <w:sz w:val="7"/>
        </w:rPr>
      </w:pPr>
    </w:p>
    <w:p>
      <w:pPr>
        <w:pStyle w:val="2"/>
        <w:numPr>
          <w:ilvl w:val="0"/>
          <w:numId w:val="1"/>
        </w:numPr>
        <w:spacing w:before="71"/>
        <w:ind w:left="529"/>
        <w:rPr>
          <w:w w:val="100"/>
        </w:rPr>
      </w:pPr>
      <w:r>
        <w:rPr>
          <w:spacing w:val="-22"/>
          <w:w w:val="100"/>
        </w:rPr>
        <w:t>表格导入：</w:t>
      </w:r>
      <w:r>
        <w:rPr>
          <w:spacing w:val="-5"/>
          <w:w w:val="100"/>
        </w:rPr>
        <w:t>（点击项目框架中每个单位工程进入导表界面</w:t>
      </w:r>
      <w:r>
        <w:rPr>
          <w:w w:val="100"/>
        </w:rPr>
        <w:t>）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  <w:r>
        <w:rPr>
          <w:sz w:val="21"/>
        </w:rPr>
        <w:pict>
          <v:shape id="_x0000_s1099" o:spid="_x0000_s1099" o:spt="202" type="#_x0000_t202" style="position:absolute;left:0pt;margin-left:116.65pt;margin-top:247.7pt;height:25.2pt;width:128.4pt;z-index:251662336;mso-width-relative:page;mso-height-relative:page;" fillcolor="#FFFFFF" filled="t" stroked="t" coordsize="21600,21600">
            <v:path/>
            <v:fill on="t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before="0" w:line="165" w:lineRule="exact"/>
                    <w:ind w:left="0" w:right="0" w:firstLine="0"/>
                    <w:jc w:val="left"/>
                    <w:rPr>
                      <w:sz w:val="15"/>
                    </w:rPr>
                  </w:pPr>
                  <w:r>
                    <w:rPr>
                      <w:color w:val="FF0000"/>
                      <w:spacing w:val="-3"/>
                      <w:sz w:val="15"/>
                    </w:rPr>
                    <w:t xml:space="preserve">选择需要导入的计价表，点击“导入 </w:t>
                  </w:r>
                  <w:r>
                    <w:rPr>
                      <w:rFonts w:ascii="Calibri" w:hAnsi="Calibri" w:eastAsia="Calibri"/>
                      <w:color w:val="FF0000"/>
                      <w:sz w:val="15"/>
                    </w:rPr>
                    <w:t>EXCEL</w:t>
                  </w:r>
                  <w:r>
                    <w:rPr>
                      <w:color w:val="FF0000"/>
                      <w:sz w:val="15"/>
                    </w:rPr>
                    <w:t>”</w:t>
                  </w:r>
                </w:p>
                <w:p/>
              </w:txbxContent>
            </v:textbox>
          </v:shape>
        </w:pict>
      </w:r>
      <w:r>
        <w:rPr>
          <w:sz w:val="21"/>
        </w:rPr>
        <w:pict>
          <v:shape id="_x0000_s1100" o:spid="_x0000_s1100" o:spt="202" type="#_x0000_t202" style="position:absolute;left:0pt;margin-left:9.25pt;margin-top:58.7pt;height:35.35pt;width:87.6pt;z-index:251663360;mso-width-relative:page;mso-height-relative:page;" fillcolor="#FFFFFF" filled="t" stroked="t" coordsize="21600,21600">
            <v:path/>
            <v:fill on="t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color w:val="FF0000"/>
                      <w:lang w:val="en-US" w:eastAsia="zh-CN"/>
                    </w:rPr>
                  </w:pPr>
                  <w:r>
                    <w:rPr>
                      <w:rFonts w:hint="eastAsia"/>
                      <w:color w:val="FF0000"/>
                      <w:lang w:val="en-US" w:eastAsia="zh-CN"/>
                    </w:rPr>
                    <w:t>选择相应的单位工程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096" o:spid="_x0000_s1096" o:spt="202" type="#_x0000_t202" style="position:absolute;left:0pt;margin-left:341.05pt;margin-top:49pt;height:33pt;width:197.4pt;z-index:251662336;mso-width-relative:page;mso-height-relative:page;" fillcolor="#FFFFFF" filled="t" stroked="t" coordsize="21600,21600">
            <v:path/>
            <v:fill on="t" focussize="0,0"/>
            <v:stroke color="#000000"/>
            <v:imagedata o:title=""/>
            <o:lock v:ext="edit" aspectratio="f"/>
            <v:textbox>
              <w:txbxContent>
                <w:p>
                  <w:pPr>
                    <w:spacing w:before="0" w:line="170" w:lineRule="exact"/>
                    <w:ind w:left="0" w:right="0" w:firstLine="0"/>
                    <w:jc w:val="left"/>
                    <w:rPr>
                      <w:sz w:val="15"/>
                    </w:rPr>
                  </w:pPr>
                  <w:r>
                    <w:rPr>
                      <w:color w:val="FF0000"/>
                      <w:w w:val="95"/>
                      <w:sz w:val="15"/>
                    </w:rPr>
                    <w:t>以上为完整的清单表格，即为清单文件需要</w:t>
                  </w:r>
                </w:p>
                <w:p>
                  <w:pPr>
                    <w:spacing w:before="115" w:line="171" w:lineRule="exact"/>
                    <w:ind w:left="0" w:right="0" w:firstLine="0"/>
                    <w:jc w:val="left"/>
                    <w:rPr>
                      <w:sz w:val="15"/>
                    </w:rPr>
                  </w:pPr>
                  <w:r>
                    <w:rPr>
                      <w:color w:val="FF0000"/>
                      <w:sz w:val="15"/>
                    </w:rPr>
                    <w:t>导入的表格数据</w:t>
                  </w:r>
                </w:p>
                <w:p/>
              </w:txbxContent>
            </v:textbox>
          </v:shape>
        </w:pict>
      </w:r>
      <w:r>
        <w:drawing>
          <wp:inline distT="0" distB="0" distL="114300" distR="114300">
            <wp:extent cx="6978650" cy="3754755"/>
            <wp:effectExtent l="0" t="0" r="1270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78650" cy="375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rFonts w:hint="default" w:eastAsia="宋体"/>
          <w:w w:val="100"/>
          <w:lang w:val="en-US" w:eastAsia="zh-CN"/>
        </w:rPr>
      </w:pPr>
      <w:r>
        <w:rPr>
          <w:rFonts w:hint="eastAsia"/>
          <w:color w:val="FF0000"/>
          <w:w w:val="100"/>
          <w:lang w:val="en-US" w:eastAsia="zh-CN"/>
        </w:rPr>
        <w:t>已有表格依次导入</w:t>
      </w: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pStyle w:val="2"/>
        <w:widowControl w:val="0"/>
        <w:numPr>
          <w:ilvl w:val="0"/>
          <w:numId w:val="0"/>
        </w:numPr>
        <w:autoSpaceDE w:val="0"/>
        <w:autoSpaceDN w:val="0"/>
        <w:spacing w:before="71" w:after="0" w:line="240" w:lineRule="auto"/>
        <w:ind w:right="0" w:rightChars="0"/>
        <w:jc w:val="left"/>
        <w:rPr>
          <w:w w:val="100"/>
        </w:rPr>
      </w:pPr>
    </w:p>
    <w:p>
      <w:pPr>
        <w:spacing w:after="0"/>
        <w:sectPr>
          <w:pgSz w:w="11910" w:h="16840"/>
          <w:pgMar w:top="140" w:right="440" w:bottom="280" w:left="460" w:header="720" w:footer="720" w:gutter="0"/>
          <w:cols w:space="720" w:num="1"/>
        </w:sectPr>
      </w:pPr>
    </w:p>
    <w:p>
      <w:pPr>
        <w:pStyle w:val="2"/>
        <w:ind w:left="887"/>
        <w:rPr>
          <w:sz w:val="20"/>
        </w:rPr>
      </w:pPr>
      <w:r>
        <w:rPr>
          <w:sz w:val="20"/>
        </w:rPr>
        <w:pict>
          <v:group id="_x0000_s1048" o:spid="_x0000_s1048" o:spt="203" style="height:343.25pt;width:432pt;" coordsize="8640,6865">
            <o:lock v:ext="edit"/>
            <v:shape id="_x0000_s1049" o:spid="_x0000_s1049" o:spt="75" type="#_x0000_t75" style="position:absolute;left:0;top:0;height:6865;width:8640;" filled="f" stroked="f" coordsize="21600,21600">
              <v:path/>
              <v:fill on="f" focussize="0,0"/>
              <v:stroke on="f"/>
              <v:imagedata r:id="rId10" o:title=""/>
              <o:lock v:ext="edit" aspectratio="t"/>
            </v:shape>
            <v:shape id="_x0000_s1050" o:spid="_x0000_s1050" o:spt="75" type="#_x0000_t75" style="position:absolute;left:5710;top:3508;height:1716;width:2490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51" o:spid="_x0000_s1051" o:spt="202" type="#_x0000_t202" style="position:absolute;left:0;top:0;height:6865;width:864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4" w:line="240" w:lineRule="auto"/>
                      <w:rPr>
                        <w:sz w:val="12"/>
                      </w:rPr>
                    </w:pPr>
                  </w:p>
                  <w:p>
                    <w:pPr>
                      <w:spacing w:before="0" w:line="364" w:lineRule="auto"/>
                      <w:ind w:left="5865" w:right="591" w:firstLine="0"/>
                      <w:jc w:val="both"/>
                      <w:rPr>
                        <w:sz w:val="16"/>
                      </w:rPr>
                    </w:pPr>
                    <w:r>
                      <w:rPr>
                        <w:color w:val="FF0000"/>
                        <w:spacing w:val="-7"/>
                        <w:w w:val="95"/>
                        <w:sz w:val="16"/>
                      </w:rPr>
                      <w:t>确定表格内容以及横向、纵向表</w:t>
                    </w:r>
                    <w:r>
                      <w:rPr>
                        <w:color w:val="FF0000"/>
                        <w:spacing w:val="8"/>
                        <w:w w:val="95"/>
                        <w:sz w:val="16"/>
                      </w:rPr>
                      <w:t>头对应正确，点击导入数据即</w:t>
                    </w:r>
                    <w:r>
                      <w:rPr>
                        <w:color w:val="FF0000"/>
                        <w:spacing w:val="-7"/>
                        <w:w w:val="95"/>
                        <w:sz w:val="16"/>
                      </w:rPr>
                      <w:t>可。如读取表错误可点击左下角下拉选取正确内容，点击重新读取</w:t>
                    </w:r>
                    <w:r>
                      <w:rPr>
                        <w:color w:val="FF0000"/>
                        <w:spacing w:val="-7"/>
                        <w:sz w:val="16"/>
                      </w:rPr>
                      <w:t>。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3"/>
        <w:rPr>
          <w:sz w:val="7"/>
        </w:rPr>
      </w:pPr>
    </w:p>
    <w:p>
      <w:pPr>
        <w:pStyle w:val="2"/>
        <w:spacing w:before="72" w:line="278" w:lineRule="auto"/>
        <w:ind w:left="889" w:right="116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854710</wp:posOffset>
            </wp:positionH>
            <wp:positionV relativeFrom="paragraph">
              <wp:posOffset>428625</wp:posOffset>
            </wp:positionV>
            <wp:extent cx="5486400" cy="1780540"/>
            <wp:effectExtent l="0" t="0" r="0" b="0"/>
            <wp:wrapNone/>
            <wp:docPr id="1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8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8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</w:rPr>
        <w:t>（</w:t>
      </w:r>
      <w:r>
        <w:rPr>
          <w:color w:val="FF0000"/>
          <w:spacing w:val="-9"/>
        </w:rPr>
        <w:t>所有表格依次导入，导入以后该表格前会有绿色对勾提示，见下图，所有表格导入完成点击右上角“开始生</w:t>
      </w:r>
      <w:r>
        <w:rPr>
          <w:color w:val="FF0000"/>
          <w:spacing w:val="-17"/>
          <w:w w:val="100"/>
        </w:rPr>
        <w:t>成”，选择招标文件存放路径进行保存即可。</w:t>
      </w:r>
      <w:r>
        <w:rPr>
          <w:color w:val="FF0000"/>
          <w:w w:val="100"/>
        </w:rPr>
        <w:t>）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spacing w:after="0" w:line="278" w:lineRule="auto"/>
        <w:sectPr>
          <w:pgSz w:w="11910" w:h="16840"/>
          <w:pgMar w:top="140" w:right="440" w:bottom="0" w:left="460" w:header="720" w:footer="720" w:gutter="0"/>
          <w:cols w:space="720" w:num="1"/>
        </w:sectPr>
      </w:pPr>
    </w:p>
    <w:p>
      <w:pPr>
        <w:pStyle w:val="2"/>
        <w:spacing w:before="2"/>
        <w:rPr>
          <w:rFonts w:hint="eastAsia" w:eastAsia="宋体"/>
          <w:lang w:eastAsia="zh-CN"/>
        </w:rPr>
      </w:pPr>
      <w:r>
        <w:t>常见问题</w:t>
      </w:r>
      <w:r>
        <w:rPr>
          <w:rFonts w:hint="eastAsia"/>
          <w:lang w:eastAsia="zh-CN"/>
        </w:rPr>
        <w:t>：</w:t>
      </w:r>
    </w:p>
    <w:p>
      <w:pPr>
        <w:pStyle w:val="2"/>
        <w:spacing w:before="7"/>
        <w:rPr>
          <w:sz w:val="8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1108710</wp:posOffset>
            </wp:positionH>
            <wp:positionV relativeFrom="paragraph">
              <wp:posOffset>93980</wp:posOffset>
            </wp:positionV>
            <wp:extent cx="5312410" cy="2007870"/>
            <wp:effectExtent l="0" t="0" r="0" b="0"/>
            <wp:wrapTopAndBottom/>
            <wp:docPr id="21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1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2349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1092200</wp:posOffset>
            </wp:positionH>
            <wp:positionV relativeFrom="paragraph">
              <wp:posOffset>2218055</wp:posOffset>
            </wp:positionV>
            <wp:extent cx="5391785" cy="2334260"/>
            <wp:effectExtent l="0" t="0" r="0" b="0"/>
            <wp:wrapTopAndBottom/>
            <wp:docPr id="23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32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601" cy="23345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1092200</wp:posOffset>
            </wp:positionH>
            <wp:positionV relativeFrom="paragraph">
              <wp:posOffset>4635500</wp:posOffset>
            </wp:positionV>
            <wp:extent cx="5358130" cy="2236470"/>
            <wp:effectExtent l="0" t="0" r="0" b="0"/>
            <wp:wrapTopAndBottom/>
            <wp:docPr id="25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33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8032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1075055</wp:posOffset>
            </wp:positionH>
            <wp:positionV relativeFrom="paragraph">
              <wp:posOffset>7022465</wp:posOffset>
            </wp:positionV>
            <wp:extent cx="5405120" cy="2221865"/>
            <wp:effectExtent l="0" t="0" r="0" b="0"/>
            <wp:wrapTopAndBottom/>
            <wp:docPr id="27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34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4828" cy="2221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2"/>
        <w:rPr>
          <w:sz w:val="8"/>
        </w:rPr>
      </w:pPr>
    </w:p>
    <w:p>
      <w:pPr>
        <w:pStyle w:val="2"/>
        <w:spacing w:before="11"/>
        <w:rPr>
          <w:sz w:val="4"/>
        </w:rPr>
      </w:pPr>
    </w:p>
    <w:p>
      <w:pPr>
        <w:pStyle w:val="2"/>
        <w:spacing w:before="2"/>
        <w:rPr>
          <w:sz w:val="13"/>
        </w:rPr>
      </w:pPr>
    </w:p>
    <w:p>
      <w:pPr>
        <w:spacing w:after="0"/>
        <w:rPr>
          <w:sz w:val="13"/>
        </w:rPr>
        <w:sectPr>
          <w:pgSz w:w="11910" w:h="16840"/>
          <w:pgMar w:top="0" w:right="440" w:bottom="280" w:left="460" w:header="720" w:footer="720" w:gutter="0"/>
          <w:cols w:space="720" w:num="1"/>
        </w:sectPr>
      </w:pPr>
    </w:p>
    <w:p>
      <w:pPr>
        <w:pStyle w:val="2"/>
        <w:ind w:left="1233"/>
        <w:rPr>
          <w:sz w:val="20"/>
        </w:rPr>
      </w:pPr>
      <w:r>
        <w:rPr>
          <w:sz w:val="20"/>
        </w:rPr>
        <w:drawing>
          <wp:inline distT="0" distB="0" distL="0" distR="0">
            <wp:extent cx="5402580" cy="1856105"/>
            <wp:effectExtent l="0" t="0" r="0" b="0"/>
            <wp:docPr id="29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35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738" cy="185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6"/>
        <w:rPr>
          <w:sz w:val="16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1075055</wp:posOffset>
            </wp:positionH>
            <wp:positionV relativeFrom="paragraph">
              <wp:posOffset>158750</wp:posOffset>
            </wp:positionV>
            <wp:extent cx="5402580" cy="1984375"/>
            <wp:effectExtent l="0" t="0" r="0" b="0"/>
            <wp:wrapTopAndBottom/>
            <wp:docPr id="31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36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2791" cy="1984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1036955</wp:posOffset>
            </wp:positionH>
            <wp:positionV relativeFrom="paragraph">
              <wp:posOffset>2339975</wp:posOffset>
            </wp:positionV>
            <wp:extent cx="5481955" cy="1979930"/>
            <wp:effectExtent l="0" t="0" r="0" b="0"/>
            <wp:wrapTopAndBottom/>
            <wp:docPr id="33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37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2179" cy="1979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before="11"/>
        <w:rPr>
          <w:sz w:val="18"/>
        </w:rPr>
      </w:pPr>
    </w:p>
    <w:p>
      <w:pPr>
        <w:pStyle w:val="2"/>
        <w:spacing w:before="11"/>
        <w:rPr>
          <w:sz w:val="18"/>
        </w:rPr>
      </w:pPr>
    </w:p>
    <w:p>
      <w:pPr>
        <w:pStyle w:val="2"/>
        <w:spacing w:before="11"/>
        <w:rPr>
          <w:sz w:val="18"/>
        </w:rPr>
      </w:pPr>
      <w:r>
        <w:rPr>
          <w:rFonts w:hint="eastAsia"/>
          <w:sz w:val="36"/>
          <w:szCs w:val="44"/>
          <w:lang w:val="en-US" w:eastAsia="zh-CN"/>
        </w:rPr>
        <w:t>咨询电话：孙13864008325</w:t>
      </w:r>
      <w:bookmarkStart w:id="0" w:name="_GoBack"/>
      <w:bookmarkEnd w:id="0"/>
    </w:p>
    <w:sectPr>
      <w:pgSz w:w="11910" w:h="16840"/>
      <w:pgMar w:top="80" w:right="440" w:bottom="280" w:left="4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C1FCB"/>
    <w:multiLevelType w:val="singleLevel"/>
    <w:tmpl w:val="71BC1FCB"/>
    <w:lvl w:ilvl="0" w:tentative="0">
      <w:start w:val="2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D471676"/>
    <w:rsid w:val="22F903B1"/>
    <w:rsid w:val="579133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99"/>
    <customShpInfo spid="_x0000_s1100"/>
    <customShpInfo spid="_x0000_s1096"/>
    <customShpInfo spid="_x0000_s1049"/>
    <customShpInfo spid="_x0000_s1050"/>
    <customShpInfo spid="_x0000_s1051"/>
    <customShpInfo spid="_x0000_s104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2021-07-11T09:59:00Z</dcterms:created>
  <dc:creator>Windows 用户</dc:creator>
  <cp:lastModifiedBy>Avicii</cp:lastModifiedBy>
  <dcterms:modified xsi:type="dcterms:W3CDTF">2021-07-12T01:44:14Z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2021-07-11T00:00:00Z</vt:filetime>
  </property>
  <property fmtid="{D5CDD505-2E9C-101B-9397-08002B2CF9AE}" pid="5" name="KSOProductBuildVer">
    <vt:lpwstr>2052-11.1.0.10578</vt:lpwstr>
  </property>
  <property fmtid="{D5CDD505-2E9C-101B-9397-08002B2CF9AE}" pid="6" name="ICV">
    <vt:lpwstr>740ABBCCF3BB48C58B3BA60A799C1C49</vt:lpwstr>
  </property>
</Properties>
</file>